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="Calibri,Bold"/>
          <w:b/>
          <w:bCs/>
          <w:color w:val="953634"/>
          <w:sz w:val="28"/>
          <w:szCs w:val="28"/>
        </w:rPr>
      </w:pPr>
      <w:proofErr w:type="spellStart"/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>Moniliophthora</w:t>
      </w:r>
      <w:proofErr w:type="spellEnd"/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 xml:space="preserve"> </w:t>
      </w:r>
      <w:proofErr w:type="spellStart"/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>perniciosa</w:t>
      </w:r>
      <w:proofErr w:type="spellEnd"/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>: proteome, host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="Calibri,Bold"/>
          <w:b/>
          <w:bCs/>
          <w:color w:val="953634"/>
          <w:sz w:val="28"/>
          <w:szCs w:val="28"/>
        </w:rPr>
      </w:pPr>
      <w:proofErr w:type="gramStart"/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>colonization</w:t>
      </w:r>
      <w:proofErr w:type="gramEnd"/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 xml:space="preserve"> and hormonal alterations in tomato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="Calibri,Bold"/>
          <w:b/>
          <w:bCs/>
          <w:color w:val="953634"/>
          <w:sz w:val="28"/>
          <w:szCs w:val="28"/>
        </w:rPr>
      </w:pPr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>Sandra Pierre B. Sc.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="Calibri,Bold"/>
          <w:b/>
          <w:bCs/>
          <w:color w:val="953634"/>
          <w:sz w:val="28"/>
          <w:szCs w:val="28"/>
        </w:rPr>
      </w:pPr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>A thesis submitted to the University of Wales, Aberystwyth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="Calibri,Bold"/>
          <w:b/>
          <w:bCs/>
          <w:color w:val="953634"/>
          <w:sz w:val="28"/>
          <w:szCs w:val="28"/>
        </w:rPr>
      </w:pPr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>For the degree of Doctor in Philosophy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center"/>
        <w:rPr>
          <w:rFonts w:eastAsia="Calibri,Bold" w:cs="Calibri,Bold"/>
          <w:b/>
          <w:bCs/>
          <w:color w:val="953634"/>
          <w:sz w:val="28"/>
          <w:szCs w:val="28"/>
        </w:rPr>
      </w:pPr>
      <w:r w:rsidRPr="00040771">
        <w:rPr>
          <w:rFonts w:eastAsia="Calibri,Bold" w:cs="Calibri,Bold"/>
          <w:b/>
          <w:bCs/>
          <w:color w:val="953634"/>
          <w:sz w:val="28"/>
          <w:szCs w:val="28"/>
        </w:rPr>
        <w:t>June</w:t>
      </w:r>
      <w:r>
        <w:rPr>
          <w:rFonts w:eastAsia="Calibri,Bold" w:cs="Calibri,Bold"/>
          <w:b/>
          <w:bCs/>
          <w:color w:val="953634"/>
          <w:sz w:val="28"/>
          <w:szCs w:val="28"/>
        </w:rPr>
        <w:t xml:space="preserve"> 2013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="Calibri,Bold"/>
          <w:b/>
          <w:bCs/>
          <w:color w:val="953634"/>
          <w:sz w:val="24"/>
          <w:szCs w:val="24"/>
        </w:rPr>
      </w:pP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="Calibri,Bold"/>
          <w:b/>
          <w:bCs/>
          <w:color w:val="953634"/>
          <w:sz w:val="24"/>
          <w:szCs w:val="24"/>
        </w:rPr>
      </w:pP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="Calibri,Bold"/>
          <w:b/>
          <w:bCs/>
          <w:color w:val="953634"/>
          <w:sz w:val="24"/>
          <w:szCs w:val="24"/>
        </w:rPr>
      </w:pPr>
      <w:r w:rsidRPr="00040771">
        <w:rPr>
          <w:rFonts w:eastAsia="Calibri,Bold" w:cs="Calibri,Bold"/>
          <w:b/>
          <w:bCs/>
          <w:color w:val="953634"/>
          <w:sz w:val="24"/>
          <w:szCs w:val="24"/>
        </w:rPr>
        <w:t>Abstract: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="Calibri"/>
          <w:color w:val="000000"/>
          <w:sz w:val="24"/>
          <w:szCs w:val="24"/>
        </w:rPr>
      </w:pPr>
      <w:proofErr w:type="spellStart"/>
      <w:r w:rsidRPr="00040771">
        <w:rPr>
          <w:rFonts w:eastAsia="Calibri,Italic" w:cs="Calibri,Italic"/>
          <w:i/>
          <w:iCs/>
          <w:color w:val="000000"/>
          <w:sz w:val="24"/>
          <w:szCs w:val="24"/>
        </w:rPr>
        <w:t>Moniliophthora</w:t>
      </w:r>
      <w:proofErr w:type="spellEnd"/>
      <w:r w:rsidRPr="00040771">
        <w:rPr>
          <w:rFonts w:eastAsia="Calibri,Italic" w:cs="Calibri,Italic"/>
          <w:i/>
          <w:iCs/>
          <w:color w:val="000000"/>
          <w:sz w:val="24"/>
          <w:szCs w:val="24"/>
        </w:rPr>
        <w:t xml:space="preserve"> </w:t>
      </w:r>
      <w:proofErr w:type="spellStart"/>
      <w:r w:rsidRPr="00040771">
        <w:rPr>
          <w:rFonts w:eastAsia="Calibri,Italic" w:cs="Calibri,Italic"/>
          <w:i/>
          <w:iCs/>
          <w:color w:val="000000"/>
          <w:sz w:val="24"/>
          <w:szCs w:val="24"/>
        </w:rPr>
        <w:t>perniciosa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>, causing Witches’ Broom Disease (WBD), is a major pathogen on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proofErr w:type="spellStart"/>
      <w:r w:rsidRPr="00040771">
        <w:rPr>
          <w:rFonts w:eastAsia="Calibri,Italic" w:cs="Calibri,Italic"/>
          <w:i/>
          <w:iCs/>
          <w:color w:val="000000"/>
          <w:sz w:val="24"/>
          <w:szCs w:val="24"/>
        </w:rPr>
        <w:t>Theobroma</w:t>
      </w:r>
      <w:proofErr w:type="spellEnd"/>
      <w:r w:rsidRPr="00040771">
        <w:rPr>
          <w:rFonts w:eastAsia="Calibri,Italic" w:cs="Calibri,Italic"/>
          <w:i/>
          <w:iCs/>
          <w:color w:val="000000"/>
          <w:sz w:val="24"/>
          <w:szCs w:val="24"/>
        </w:rPr>
        <w:t xml:space="preserve"> cacao</w:t>
      </w:r>
      <w:r w:rsidRPr="00040771">
        <w:rPr>
          <w:rFonts w:eastAsia="Calibri,Bold" w:cs="Calibri"/>
          <w:color w:val="000000"/>
          <w:sz w:val="24"/>
          <w:szCs w:val="24"/>
        </w:rPr>
        <w:t xml:space="preserve">. Proteomic comparisons and ITS sequences indicated that the C- and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Sbiotypes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>,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pathogenic respectively on cacao and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solanaceous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hosts, are very closely related,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="Calibri"/>
          <w:color w:val="000000"/>
          <w:sz w:val="24"/>
          <w:szCs w:val="24"/>
        </w:rPr>
      </w:pPr>
      <w:proofErr w:type="gramStart"/>
      <w:r w:rsidRPr="00040771">
        <w:rPr>
          <w:rFonts w:eastAsia="Calibri,Bold" w:cs="Calibri"/>
          <w:color w:val="000000"/>
          <w:sz w:val="24"/>
          <w:szCs w:val="24"/>
        </w:rPr>
        <w:t>whereas</w:t>
      </w:r>
      <w:proofErr w:type="gramEnd"/>
      <w:r w:rsidRPr="00040771">
        <w:rPr>
          <w:rFonts w:eastAsia="Calibri,Bold" w:cs="Calibri"/>
          <w:color w:val="000000"/>
          <w:sz w:val="24"/>
          <w:szCs w:val="24"/>
        </w:rPr>
        <w:t xml:space="preserve"> the L-biotype,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saprotrophic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on rainforest lianas is more distinct.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="Calibri"/>
          <w:color w:val="000000"/>
          <w:sz w:val="24"/>
          <w:szCs w:val="24"/>
        </w:rPr>
      </w:pPr>
      <w:r w:rsidRPr="00040771">
        <w:rPr>
          <w:rFonts w:eastAsia="Calibri,Bold" w:cs="Calibri"/>
          <w:color w:val="000000"/>
          <w:sz w:val="24"/>
          <w:szCs w:val="24"/>
        </w:rPr>
        <w:t xml:space="preserve">The S-biotype x tomato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pathosystem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proved a valuable model to quantify WBD symptom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morphology. Three ethylene mutants, an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auxin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mutant and WT of tomato showed significant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symptom differences. </w:t>
      </w:r>
      <w:proofErr w:type="gramStart"/>
      <w:r w:rsidRPr="00040771">
        <w:rPr>
          <w:rFonts w:eastAsia="Calibri,Bold" w:cs="Calibri"/>
          <w:color w:val="000000"/>
          <w:sz w:val="24"/>
          <w:szCs w:val="24"/>
        </w:rPr>
        <w:t>Inhibition of adventitious roots, delayed senescence, gigantic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leaves/flowers, suggested high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cytokinin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and low ethylene levels.</w:t>
      </w:r>
      <w:proofErr w:type="gramEnd"/>
      <w:r w:rsidRPr="00040771">
        <w:rPr>
          <w:rFonts w:eastAsia="Calibri,Bold" w:cs="Calibri"/>
          <w:color w:val="000000"/>
          <w:sz w:val="24"/>
          <w:szCs w:val="24"/>
        </w:rPr>
        <w:t xml:space="preserve"> The loss of apical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dominance suggested a low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auxin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>/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cytokinin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ratio in the stem, but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auxin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is likely present in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>high amounts in hypertrophied tissues.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="Calibri"/>
          <w:color w:val="000000"/>
          <w:sz w:val="24"/>
          <w:szCs w:val="24"/>
        </w:rPr>
      </w:pPr>
      <w:proofErr w:type="spellStart"/>
      <w:proofErr w:type="gramStart"/>
      <w:r w:rsidRPr="00040771">
        <w:rPr>
          <w:rFonts w:eastAsia="Calibri,Bold" w:cs="Calibri"/>
          <w:color w:val="000000"/>
          <w:sz w:val="24"/>
          <w:szCs w:val="24"/>
        </w:rPr>
        <w:t>qPCR</w:t>
      </w:r>
      <w:proofErr w:type="spellEnd"/>
      <w:proofErr w:type="gramEnd"/>
      <w:r w:rsidRPr="00040771">
        <w:rPr>
          <w:rFonts w:eastAsia="Calibri,Bold" w:cs="Calibri"/>
          <w:color w:val="000000"/>
          <w:sz w:val="24"/>
          <w:szCs w:val="24"/>
        </w:rPr>
        <w:t xml:space="preserve"> showed that pathogen DNA in tomato increased with the severity of the symptoms </w:t>
      </w:r>
      <w:r>
        <w:rPr>
          <w:rFonts w:eastAsia="Calibri,Bold" w:cs="Calibri"/>
          <w:color w:val="000000"/>
          <w:sz w:val="24"/>
          <w:szCs w:val="24"/>
        </w:rPr>
        <w:t xml:space="preserve"> a</w:t>
      </w:r>
      <w:r w:rsidRPr="00040771">
        <w:rPr>
          <w:rFonts w:eastAsia="Calibri,Bold" w:cs="Calibri"/>
          <w:color w:val="000000"/>
          <w:sz w:val="24"/>
          <w:szCs w:val="24"/>
        </w:rPr>
        <w:t>nd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>decreased away from the point of inoculation. Small levels were also detected in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asymptomatic tissues and in atrophied roots. </w:t>
      </w:r>
      <w:proofErr w:type="spellStart"/>
      <w:proofErr w:type="gramStart"/>
      <w:r w:rsidRPr="00040771">
        <w:rPr>
          <w:rFonts w:eastAsia="Calibri,Bold" w:cs="Calibri"/>
          <w:color w:val="000000"/>
          <w:sz w:val="24"/>
          <w:szCs w:val="24"/>
        </w:rPr>
        <w:t>qPCR</w:t>
      </w:r>
      <w:proofErr w:type="spellEnd"/>
      <w:proofErr w:type="gramEnd"/>
      <w:r w:rsidRPr="00040771">
        <w:rPr>
          <w:rFonts w:eastAsia="Calibri,Bold" w:cs="Calibri"/>
          <w:color w:val="000000"/>
          <w:sz w:val="24"/>
          <w:szCs w:val="24"/>
        </w:rPr>
        <w:t xml:space="preserve"> in potato callus dual culture showed a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slow rate of colonization during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biotrophy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>, followed by acceleration after the switch to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saprotrophy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. Microscopic observation showed swollen structures at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hyphal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tips suggesting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>potential involvement in the switch and/or in plant cell penetration.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="Calibri"/>
          <w:color w:val="000000"/>
          <w:sz w:val="24"/>
          <w:szCs w:val="24"/>
        </w:rPr>
      </w:pPr>
      <w:r w:rsidRPr="00040771">
        <w:rPr>
          <w:rFonts w:eastAsia="Calibri,Bold" w:cs="Calibri"/>
          <w:color w:val="000000"/>
          <w:sz w:val="24"/>
          <w:szCs w:val="24"/>
        </w:rPr>
        <w:t xml:space="preserve">Proteomic analysis of the fungal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saprotrophic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phase allowed identification of 22 proteins,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providing clues to its physiology and potential virulence factors. Four members of the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aldoketo</w:t>
      </w:r>
      <w:proofErr w:type="spellEnd"/>
      <w:r>
        <w:rPr>
          <w:rFonts w:eastAsia="Calibri,Bold" w:cs="Calibri"/>
          <w:color w:val="000000"/>
          <w:sz w:val="24"/>
          <w:szCs w:val="24"/>
        </w:rPr>
        <w:t xml:space="preserve">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reductase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(AKR) family were present. One was specific to a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Bahian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isolate. Another was</w:t>
      </w:r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related to plant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auxin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-induced member of the AKR subfamily aryl alcohol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dehydrogenases</w:t>
      </w:r>
      <w:proofErr w:type="spellEnd"/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(AAD), which contains proteins involved in lignin degradation such as aryl alcohol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oxidase</w:t>
      </w:r>
      <w:proofErr w:type="spellEnd"/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 xml:space="preserve">(AAO). A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nitrilase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could be involved in the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indole-acetonitrile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 xml:space="preserve"> (IAN) pathway of </w:t>
      </w:r>
      <w:proofErr w:type="spellStart"/>
      <w:r w:rsidRPr="00040771">
        <w:rPr>
          <w:rFonts w:eastAsia="Calibri,Bold" w:cs="Calibri"/>
          <w:color w:val="000000"/>
          <w:sz w:val="24"/>
          <w:szCs w:val="24"/>
        </w:rPr>
        <w:t>auxin</w:t>
      </w:r>
      <w:proofErr w:type="spellEnd"/>
      <w:r>
        <w:rPr>
          <w:rFonts w:eastAsia="Calibri,Bold" w:cs="Calibri"/>
          <w:color w:val="000000"/>
          <w:sz w:val="24"/>
          <w:szCs w:val="24"/>
        </w:rPr>
        <w:t xml:space="preserve"> </w:t>
      </w:r>
      <w:r w:rsidRPr="00040771">
        <w:rPr>
          <w:rFonts w:eastAsia="Calibri,Bold" w:cs="Calibri"/>
          <w:color w:val="000000"/>
          <w:sz w:val="24"/>
          <w:szCs w:val="24"/>
        </w:rPr>
        <w:t>synthesis.</w:t>
      </w:r>
    </w:p>
    <w:p w:rsidR="00040771" w:rsidRPr="00040771" w:rsidRDefault="00040771" w:rsidP="00040771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="Calibri"/>
          <w:color w:val="000000"/>
          <w:sz w:val="24"/>
          <w:szCs w:val="24"/>
        </w:rPr>
      </w:pPr>
      <w:r w:rsidRPr="00040771">
        <w:rPr>
          <w:rFonts w:eastAsia="Calibri,Bold" w:cs="Calibri"/>
          <w:color w:val="000000"/>
          <w:sz w:val="24"/>
          <w:szCs w:val="24"/>
        </w:rPr>
        <w:t xml:space="preserve">There are few proteomic comparisons of fungi and this is the first application in </w:t>
      </w:r>
      <w:r w:rsidRPr="00040771">
        <w:rPr>
          <w:rFonts w:eastAsia="Calibri,Italic" w:cs="Calibri,Italic"/>
          <w:i/>
          <w:iCs/>
          <w:color w:val="000000"/>
          <w:sz w:val="24"/>
          <w:szCs w:val="24"/>
        </w:rPr>
        <w:t>M.</w:t>
      </w:r>
      <w:r>
        <w:rPr>
          <w:rFonts w:eastAsia="Calibri,Italic" w:cs="Calibri,Italic"/>
          <w:i/>
          <w:iCs/>
          <w:color w:val="000000"/>
          <w:sz w:val="24"/>
          <w:szCs w:val="24"/>
        </w:rPr>
        <w:t xml:space="preserve"> </w:t>
      </w:r>
      <w:proofErr w:type="spellStart"/>
      <w:r w:rsidRPr="00040771">
        <w:rPr>
          <w:rFonts w:eastAsia="Calibri,Italic" w:cs="Calibri,Italic"/>
          <w:i/>
          <w:iCs/>
          <w:color w:val="000000"/>
          <w:sz w:val="24"/>
          <w:szCs w:val="24"/>
        </w:rPr>
        <w:t>perniciosa</w:t>
      </w:r>
      <w:proofErr w:type="spellEnd"/>
      <w:r w:rsidRPr="00040771">
        <w:rPr>
          <w:rFonts w:eastAsia="Calibri,Bold" w:cs="Calibri"/>
          <w:color w:val="000000"/>
          <w:sz w:val="24"/>
          <w:szCs w:val="24"/>
        </w:rPr>
        <w:t>, showing that overall proteomes are highly conserved; thus rare protein changes</w:t>
      </w:r>
    </w:p>
    <w:p w:rsidR="004A489A" w:rsidRPr="00040771" w:rsidRDefault="00040771" w:rsidP="00040771">
      <w:pPr>
        <w:jc w:val="both"/>
        <w:rPr>
          <w:sz w:val="24"/>
          <w:szCs w:val="24"/>
        </w:rPr>
      </w:pPr>
      <w:proofErr w:type="gramStart"/>
      <w:r w:rsidRPr="00040771">
        <w:rPr>
          <w:rFonts w:eastAsia="Calibri,Bold" w:cs="Calibri"/>
          <w:color w:val="000000"/>
          <w:sz w:val="24"/>
          <w:szCs w:val="24"/>
        </w:rPr>
        <w:t>may</w:t>
      </w:r>
      <w:proofErr w:type="gramEnd"/>
      <w:r w:rsidRPr="00040771">
        <w:rPr>
          <w:rFonts w:eastAsia="Calibri,Bold" w:cs="Calibri"/>
          <w:color w:val="000000"/>
          <w:sz w:val="24"/>
          <w:szCs w:val="24"/>
        </w:rPr>
        <w:t xml:space="preserve"> have a strong physiological/evolutionary meaning</w:t>
      </w:r>
      <w:r>
        <w:rPr>
          <w:rFonts w:eastAsia="Calibri,Bold" w:cs="Calibri"/>
          <w:color w:val="000000"/>
          <w:sz w:val="24"/>
          <w:szCs w:val="24"/>
        </w:rPr>
        <w:t xml:space="preserve">. </w:t>
      </w:r>
    </w:p>
    <w:sectPr w:rsidR="004A489A" w:rsidRPr="00040771" w:rsidSect="004A4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0771"/>
    <w:rsid w:val="00040771"/>
    <w:rsid w:val="004632EA"/>
    <w:rsid w:val="004A489A"/>
    <w:rsid w:val="00542978"/>
    <w:rsid w:val="00E43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End</dc:creator>
  <cp:lastModifiedBy>Michelle End</cp:lastModifiedBy>
  <cp:revision>2</cp:revision>
  <dcterms:created xsi:type="dcterms:W3CDTF">2015-06-04T13:09:00Z</dcterms:created>
  <dcterms:modified xsi:type="dcterms:W3CDTF">2015-06-04T13:09:00Z</dcterms:modified>
</cp:coreProperties>
</file>