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5F5" w:rsidRDefault="008705F5" w:rsidP="008705F5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30"/>
          <w:szCs w:val="30"/>
        </w:rPr>
      </w:pPr>
      <w:r>
        <w:rPr>
          <w:rFonts w:ascii="Cambria-Bold" w:hAnsi="Cambria-Bold" w:cs="Cambria-Bold"/>
          <w:b/>
          <w:bCs/>
          <w:sz w:val="30"/>
          <w:szCs w:val="30"/>
        </w:rPr>
        <w:t>Dose Transfer Efficiency of Cone Nozzles to apply Fungicides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30"/>
          <w:szCs w:val="30"/>
        </w:rPr>
      </w:pPr>
      <w:proofErr w:type="gramStart"/>
      <w:r>
        <w:rPr>
          <w:rFonts w:ascii="Cambria-Bold" w:hAnsi="Cambria-Bold" w:cs="Cambria-Bold"/>
          <w:b/>
          <w:bCs/>
          <w:sz w:val="30"/>
          <w:szCs w:val="30"/>
        </w:rPr>
        <w:t>against</w:t>
      </w:r>
      <w:proofErr w:type="gramEnd"/>
      <w:r>
        <w:rPr>
          <w:rFonts w:ascii="Cambria-Bold" w:hAnsi="Cambria-Bold" w:cs="Cambria-Bold"/>
          <w:b/>
          <w:bCs/>
          <w:sz w:val="30"/>
          <w:szCs w:val="30"/>
        </w:rPr>
        <w:t xml:space="preserve"> Black Pod of Cocoa in Ghana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sz w:val="26"/>
          <w:szCs w:val="26"/>
        </w:rPr>
        <w:t>Rosalind Smith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sz w:val="26"/>
          <w:szCs w:val="26"/>
        </w:rPr>
        <w:t>Imperial College London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sz w:val="26"/>
          <w:szCs w:val="26"/>
        </w:rPr>
        <w:t>MSc Thesis, September 2009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6"/>
          <w:szCs w:val="26"/>
        </w:rPr>
      </w:pPr>
      <w:r>
        <w:rPr>
          <w:rFonts w:ascii="Cambria-Bold" w:hAnsi="Cambria-Bold" w:cs="Cambria-Bold"/>
          <w:b/>
          <w:bCs/>
          <w:sz w:val="26"/>
          <w:szCs w:val="26"/>
        </w:rPr>
        <w:t>ABSTRACT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Black pod, caused by </w:t>
      </w:r>
      <w:r>
        <w:rPr>
          <w:rFonts w:ascii="Calibri-Italic" w:hAnsi="Calibri-Italic" w:cs="Calibri-Italic"/>
          <w:i/>
          <w:iCs/>
          <w:sz w:val="23"/>
          <w:szCs w:val="23"/>
        </w:rPr>
        <w:t xml:space="preserve">Phytophthora </w:t>
      </w:r>
      <w:r>
        <w:rPr>
          <w:rFonts w:ascii="Calibri" w:hAnsi="Calibri" w:cs="Calibri"/>
          <w:sz w:val="23"/>
          <w:szCs w:val="23"/>
        </w:rPr>
        <w:t>species, is the most serious disease of cocoa in West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Africa. Current management strategies rely on cultural and chemical control methods,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although</w:t>
      </w:r>
      <w:proofErr w:type="gramEnd"/>
      <w:r>
        <w:rPr>
          <w:rFonts w:ascii="Calibri" w:hAnsi="Calibri" w:cs="Calibri"/>
          <w:sz w:val="23"/>
          <w:szCs w:val="23"/>
        </w:rPr>
        <w:t xml:space="preserve"> research into biological control and breeding for resistance is ongoing. There are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also</w:t>
      </w:r>
      <w:proofErr w:type="gramEnd"/>
      <w:r>
        <w:rPr>
          <w:rFonts w:ascii="Calibri" w:hAnsi="Calibri" w:cs="Calibri"/>
          <w:sz w:val="23"/>
          <w:szCs w:val="23"/>
        </w:rPr>
        <w:t xml:space="preserve"> continuing efforts to improve the efficacy of chemical control methods, including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research</w:t>
      </w:r>
      <w:proofErr w:type="gramEnd"/>
      <w:r>
        <w:rPr>
          <w:rFonts w:ascii="Calibri" w:hAnsi="Calibri" w:cs="Calibri"/>
          <w:sz w:val="23"/>
          <w:szCs w:val="23"/>
        </w:rPr>
        <w:t xml:space="preserve"> into more targeted application techniques. Cone nozzles with low flow rates and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narrow</w:t>
      </w:r>
      <w:proofErr w:type="gramEnd"/>
      <w:r>
        <w:rPr>
          <w:rFonts w:ascii="Calibri" w:hAnsi="Calibri" w:cs="Calibri"/>
          <w:sz w:val="23"/>
          <w:szCs w:val="23"/>
        </w:rPr>
        <w:t xml:space="preserve"> angles of output, fitted to manual knapsack sprayers, have been identified as having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the</w:t>
      </w:r>
      <w:proofErr w:type="gramEnd"/>
      <w:r>
        <w:rPr>
          <w:rFonts w:ascii="Calibri" w:hAnsi="Calibri" w:cs="Calibri"/>
          <w:sz w:val="23"/>
          <w:szCs w:val="23"/>
        </w:rPr>
        <w:t xml:space="preserve"> potential to improve dose‐transfer efficiency to targets such as cocoa pods.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DC31‐25 and DC03‐45 nozzles (which have been selected as having the potential to improve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dose‐transfer</w:t>
      </w:r>
      <w:proofErr w:type="gramEnd"/>
      <w:r>
        <w:rPr>
          <w:rFonts w:ascii="Calibri" w:hAnsi="Calibri" w:cs="Calibri"/>
          <w:sz w:val="23"/>
          <w:szCs w:val="23"/>
        </w:rPr>
        <w:t xml:space="preserve"> efficiency) were compared in two trials with the standard nozzle used by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farmers</w:t>
      </w:r>
      <w:proofErr w:type="gramEnd"/>
      <w:r>
        <w:rPr>
          <w:rFonts w:ascii="Calibri" w:hAnsi="Calibri" w:cs="Calibri"/>
          <w:sz w:val="23"/>
          <w:szCs w:val="23"/>
        </w:rPr>
        <w:t xml:space="preserve"> in Ghana. In a fungicide trial, the three nozzles were sprayed at three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concentrations</w:t>
      </w:r>
      <w:proofErr w:type="gramEnd"/>
      <w:r>
        <w:rPr>
          <w:rFonts w:ascii="Calibri" w:hAnsi="Calibri" w:cs="Calibri"/>
          <w:sz w:val="23"/>
          <w:szCs w:val="23"/>
        </w:rPr>
        <w:t xml:space="preserve"> of fungicide to identify whether they produce different levels of disease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control</w:t>
      </w:r>
      <w:proofErr w:type="gramEnd"/>
      <w:r>
        <w:rPr>
          <w:rFonts w:ascii="Calibri" w:hAnsi="Calibri" w:cs="Calibri"/>
          <w:sz w:val="23"/>
          <w:szCs w:val="23"/>
        </w:rPr>
        <w:t xml:space="preserve"> in the field. A tracer trial was also carried out to identify whether there is any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difference</w:t>
      </w:r>
      <w:proofErr w:type="gramEnd"/>
      <w:r>
        <w:rPr>
          <w:rFonts w:ascii="Calibri" w:hAnsi="Calibri" w:cs="Calibri"/>
          <w:sz w:val="23"/>
          <w:szCs w:val="23"/>
        </w:rPr>
        <w:t xml:space="preserve"> between nozzles in terms of the amount of deposit left on the pods. Significant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overall</w:t>
      </w:r>
      <w:proofErr w:type="gramEnd"/>
      <w:r>
        <w:rPr>
          <w:rFonts w:ascii="Calibri" w:hAnsi="Calibri" w:cs="Calibri"/>
          <w:sz w:val="23"/>
          <w:szCs w:val="23"/>
        </w:rPr>
        <w:t xml:space="preserve"> differences between nozzles were not identified in either the fungicide or the tracer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trials</w:t>
      </w:r>
      <w:proofErr w:type="gramEnd"/>
      <w:r>
        <w:rPr>
          <w:rFonts w:ascii="Calibri" w:hAnsi="Calibri" w:cs="Calibri"/>
          <w:sz w:val="23"/>
          <w:szCs w:val="23"/>
        </w:rPr>
        <w:t>. Possible reasons for these results are discussed, especially the effect of spray operator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behaviour</w:t>
      </w:r>
      <w:proofErr w:type="gramEnd"/>
      <w:r>
        <w:rPr>
          <w:rFonts w:ascii="Calibri" w:hAnsi="Calibri" w:cs="Calibri"/>
          <w:sz w:val="23"/>
          <w:szCs w:val="23"/>
        </w:rPr>
        <w:t>. In both trials it was observed that spray operators applied fungicide until run‐off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was</w:t>
      </w:r>
      <w:proofErr w:type="gramEnd"/>
      <w:r>
        <w:rPr>
          <w:rFonts w:ascii="Calibri" w:hAnsi="Calibri" w:cs="Calibri"/>
          <w:sz w:val="23"/>
          <w:szCs w:val="23"/>
        </w:rPr>
        <w:t xml:space="preserve"> achieved, meaning that any differences between nozzles, in either disease incidence or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deposit</w:t>
      </w:r>
      <w:proofErr w:type="gramEnd"/>
      <w:r>
        <w:rPr>
          <w:rFonts w:ascii="Calibri" w:hAnsi="Calibri" w:cs="Calibri"/>
          <w:sz w:val="23"/>
          <w:szCs w:val="23"/>
        </w:rPr>
        <w:t xml:space="preserve"> left on the pods, would be masked by the over‐application of fungicide. The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importance</w:t>
      </w:r>
      <w:proofErr w:type="gramEnd"/>
      <w:r>
        <w:rPr>
          <w:rFonts w:ascii="Calibri" w:hAnsi="Calibri" w:cs="Calibri"/>
          <w:sz w:val="23"/>
          <w:szCs w:val="23"/>
        </w:rPr>
        <w:t xml:space="preserve"> of correcting this spraying behaviour is discussed, as are possible strategies for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improving</w:t>
      </w:r>
      <w:proofErr w:type="gramEnd"/>
      <w:r>
        <w:rPr>
          <w:rFonts w:ascii="Calibri" w:hAnsi="Calibri" w:cs="Calibri"/>
          <w:sz w:val="23"/>
          <w:szCs w:val="23"/>
        </w:rPr>
        <w:t xml:space="preserve"> farmers’ spraying practices. It is important that this is managed when the</w:t>
      </w:r>
    </w:p>
    <w:p w:rsidR="008705F5" w:rsidRDefault="008705F5" w:rsidP="008705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fungicide</w:t>
      </w:r>
      <w:proofErr w:type="gramEnd"/>
      <w:r>
        <w:rPr>
          <w:rFonts w:ascii="Calibri" w:hAnsi="Calibri" w:cs="Calibri"/>
          <w:sz w:val="23"/>
          <w:szCs w:val="23"/>
        </w:rPr>
        <w:t xml:space="preserve"> trial is repeated on a larger scale next black pod season by the pathology</w:t>
      </w:r>
    </w:p>
    <w:p w:rsidR="004A489A" w:rsidRDefault="008705F5" w:rsidP="008705F5">
      <w:proofErr w:type="gramStart"/>
      <w:r>
        <w:rPr>
          <w:rFonts w:ascii="Calibri" w:hAnsi="Calibri" w:cs="Calibri"/>
          <w:sz w:val="23"/>
          <w:szCs w:val="23"/>
        </w:rPr>
        <w:t>department</w:t>
      </w:r>
      <w:proofErr w:type="gramEnd"/>
      <w:r>
        <w:rPr>
          <w:rFonts w:ascii="Calibri" w:hAnsi="Calibri" w:cs="Calibri"/>
          <w:sz w:val="23"/>
          <w:szCs w:val="23"/>
        </w:rPr>
        <w:t xml:space="preserve"> of the Cocoa Research Institute of Ghana.</w:t>
      </w:r>
    </w:p>
    <w:sectPr w:rsidR="004A489A" w:rsidSect="004A4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8705F5"/>
    <w:rsid w:val="00452BCF"/>
    <w:rsid w:val="004632EA"/>
    <w:rsid w:val="004A489A"/>
    <w:rsid w:val="0087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End</dc:creator>
  <cp:lastModifiedBy>Michelle End</cp:lastModifiedBy>
  <cp:revision>1</cp:revision>
  <dcterms:created xsi:type="dcterms:W3CDTF">2013-12-11T14:12:00Z</dcterms:created>
  <dcterms:modified xsi:type="dcterms:W3CDTF">2013-12-11T14:15:00Z</dcterms:modified>
</cp:coreProperties>
</file>